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8C1AE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2</w:t>
      </w:r>
      <w:r w:rsidR="002323F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  <w:r w:rsidR="006B1BFB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</w:t>
            </w:r>
            <w:r w:rsidR="005E43AF">
              <w:rPr>
                <w:rFonts w:ascii="Times New Roman" w:hAnsi="Times New Roman"/>
                <w:b/>
                <w:color w:val="222222"/>
              </w:rPr>
              <w:t>7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5E43AF">
              <w:rPr>
                <w:rFonts w:ascii="Times New Roman" w:hAnsi="Times New Roman"/>
                <w:b/>
                <w:color w:val="222222"/>
              </w:rPr>
              <w:t>00</w:t>
            </w:r>
            <w:r w:rsidR="002E264D">
              <w:rPr>
                <w:rFonts w:ascii="Times New Roman" w:hAnsi="Times New Roman"/>
                <w:b/>
                <w:color w:val="222222"/>
              </w:rPr>
              <w:t>.</w:t>
            </w:r>
            <w:r w:rsidR="005E43AF">
              <w:rPr>
                <w:rFonts w:ascii="Times New Roman" w:hAnsi="Times New Roman"/>
                <w:b/>
                <w:color w:val="222222"/>
              </w:rPr>
              <w:t>610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5E43AF" w:rsidRDefault="005E43AF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0436hrs LT/23.09.21: Vsl 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="0001410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Atakas </w:t>
            </w:r>
            <w:r w:rsidR="00DF6EC4"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fr  Turkish strait, Canakkale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discharged:2448.120 MT</w:t>
            </w:r>
          </w:p>
          <w:p w:rsidR="003231A1" w:rsidRPr="00150BAA" w:rsidRDefault="00D168ED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Balance to go:15352.49 MT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6B1BFB">
              <w:rPr>
                <w:rFonts w:ascii="Times New Roman" w:eastAsia="Times New Roman" w:hAnsi="Times New Roman" w:cs="Times New Roman"/>
                <w:color w:val="000000"/>
              </w:rPr>
              <w:t>C:02.10.21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931">
              <w:rPr>
                <w:rFonts w:ascii="Times New Roman" w:hAnsi="Times New Roman" w:cs="Times New Roman"/>
                <w:color w:val="000000"/>
              </w:rPr>
              <w:t>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04766">
              <w:rPr>
                <w:rFonts w:ascii="Times New Roman" w:hAnsi="Times New Roman" w:cs="Times New Roman"/>
                <w:color w:val="000000"/>
              </w:rPr>
              <w:t xml:space="preserve"> Huagua, China on 03.10.21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31,500.00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0806hrs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/24.09.21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Vsl dropped anchored &amp; NORT at Kendawangan,Indonesia.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263600" w:rsidRDefault="0026360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last 24hrs Load: 4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  <w:p w:rsidR="00794695" w:rsidRPr="00640CD9" w:rsidRDefault="00794695" w:rsidP="006279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 to 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 xml:space="preserve">load: 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11480</w:t>
            </w:r>
            <w:r w:rsidR="00F21A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D6" w:rsidRDefault="006C05BC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6279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.10.21/AM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 xml:space="preserve"> at Kendawangan,</w:t>
            </w:r>
            <w:r w:rsidR="006F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>Indonesia.</w:t>
            </w:r>
          </w:p>
          <w:p w:rsidR="00F82883" w:rsidRDefault="00F82883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port TBC</w:t>
            </w:r>
          </w:p>
          <w:p w:rsidR="0069134D" w:rsidRPr="003E3296" w:rsidRDefault="0069134D" w:rsidP="005D76F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35764E" w:rsidRDefault="0035764E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1642hrs LT/24.09.21: Vsl anchored at Rouen France</w:t>
            </w:r>
          </w:p>
          <w:p w:rsidR="00CC30AB" w:rsidRPr="00255D1F" w:rsidRDefault="00141F3C" w:rsidP="0035764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</w:t>
            </w:r>
            <w:r w:rsidR="00F828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764E">
              <w:rPr>
                <w:rFonts w:ascii="Times New Roman" w:eastAsia="Times New Roman" w:hAnsi="Times New Roman" w:cs="Times New Roman"/>
                <w:color w:val="000000"/>
              </w:rPr>
              <w:t>Channel (under pilotage)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7D638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945345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1030hrs LT/30.09.21: Vsl anchored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25" w:rsidRDefault="00FA0525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ETB: 6/8.10.21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F32022">
        <w:trPr>
          <w:trHeight w:val="4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83" w:rsidRDefault="00657A25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08.10.21/2200hrs LT To Singapore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158" w:rsidRDefault="007C0D1D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  <w:r w:rsidR="00554158">
              <w:rPr>
                <w:rFonts w:ascii="Times New Roman" w:hAnsi="Times New Roman" w:cs="Times New Roman"/>
                <w:sz w:val="22"/>
                <w:szCs w:val="22"/>
              </w:rPr>
              <w:t>hrs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/29</w:t>
            </w:r>
            <w:r w:rsidR="00C27561">
              <w:rPr>
                <w:rFonts w:ascii="Times New Roman" w:hAnsi="Times New Roman" w:cs="Times New Roman"/>
                <w:sz w:val="22"/>
                <w:szCs w:val="22"/>
              </w:rPr>
              <w:t>.09.21</w:t>
            </w:r>
            <w:r w:rsidR="00554158">
              <w:rPr>
                <w:rFonts w:ascii="Times New Roman" w:hAnsi="Times New Roman" w:cs="Times New Roman"/>
                <w:sz w:val="22"/>
                <w:szCs w:val="22"/>
              </w:rPr>
              <w:t>: Vsl anchore</w:t>
            </w:r>
            <w:r w:rsidR="001E2B6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Kutubdia</w:t>
            </w:r>
          </w:p>
          <w:p w:rsidR="007C0D1D" w:rsidRDefault="007C0D1D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0742hrs:Anchor aweigh</w:t>
            </w:r>
          </w:p>
          <w:p w:rsidR="00EC472F" w:rsidRDefault="00EC472F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0900hrs/29.09.21:Vsl all fast to M.Vsl</w:t>
            </w:r>
          </w:p>
          <w:p w:rsidR="00EC472F" w:rsidRDefault="00EC472F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1100hrs:Commenced loading/1</w:t>
            </w:r>
            <w:r w:rsidRPr="00EC47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Trip</w:t>
            </w:r>
          </w:p>
          <w:p w:rsidR="00C27561" w:rsidRPr="002C503D" w:rsidRDefault="00DB6F2F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ETB:30.09.21/AM To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FF30B0">
        <w:trPr>
          <w:trHeight w:val="8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Default="007C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D1D">
              <w:rPr>
                <w:rFonts w:ascii="Times New Roman" w:hAnsi="Times New Roman" w:cs="Times New Roman"/>
              </w:rPr>
              <w:t>0624</w:t>
            </w:r>
            <w:r>
              <w:rPr>
                <w:rFonts w:ascii="Times New Roman" w:hAnsi="Times New Roman" w:cs="Times New Roman"/>
              </w:rPr>
              <w:t>hrs/29.09.21:Anchore Aweigh at CTG O/A  ‘C’ &amp; Vsl proceeded</w:t>
            </w:r>
          </w:p>
          <w:p w:rsidR="007C0D1D" w:rsidRPr="007C0D1D" w:rsidRDefault="007C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Towards Kutubdia</w:t>
            </w:r>
          </w:p>
          <w:p w:rsidR="00F21A24" w:rsidRPr="00FC5334" w:rsidRDefault="00F21A24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Pr="00071819" w:rsidRDefault="00BC39FB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C557B6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C1AE9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8C1AE9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2</w:t>
                        </w:r>
                        <w:r w:rsidR="00C557B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5A" w:rsidRDefault="0042415A">
      <w:r>
        <w:separator/>
      </w:r>
    </w:p>
  </w:endnote>
  <w:endnote w:type="continuationSeparator" w:id="1">
    <w:p w:rsidR="0042415A" w:rsidRDefault="0042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5A" w:rsidRDefault="0042415A" w:rsidP="00935542">
      <w:pPr>
        <w:spacing w:after="0" w:line="240" w:lineRule="auto"/>
      </w:pPr>
      <w:r>
        <w:separator/>
      </w:r>
    </w:p>
  </w:footnote>
  <w:footnote w:type="continuationSeparator" w:id="1">
    <w:p w:rsidR="0042415A" w:rsidRDefault="0042415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7EA4"/>
    <w:rsid w:val="00010F28"/>
    <w:rsid w:val="000110EE"/>
    <w:rsid w:val="00013A83"/>
    <w:rsid w:val="0001410D"/>
    <w:rsid w:val="00014D46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807F7"/>
    <w:rsid w:val="0008308D"/>
    <w:rsid w:val="00083326"/>
    <w:rsid w:val="000844F0"/>
    <w:rsid w:val="0009197E"/>
    <w:rsid w:val="0009297B"/>
    <w:rsid w:val="00093524"/>
    <w:rsid w:val="00095463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DC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672A"/>
    <w:rsid w:val="001702D1"/>
    <w:rsid w:val="00173667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21E3D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7533"/>
    <w:rsid w:val="00263600"/>
    <w:rsid w:val="00265F65"/>
    <w:rsid w:val="00280526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D4899"/>
    <w:rsid w:val="002D7F17"/>
    <w:rsid w:val="002E03D3"/>
    <w:rsid w:val="002E1CE6"/>
    <w:rsid w:val="002E1F8C"/>
    <w:rsid w:val="002E264D"/>
    <w:rsid w:val="002E4E35"/>
    <w:rsid w:val="002F3A68"/>
    <w:rsid w:val="002F5EBC"/>
    <w:rsid w:val="0031193A"/>
    <w:rsid w:val="003137A4"/>
    <w:rsid w:val="00317A89"/>
    <w:rsid w:val="003231A1"/>
    <w:rsid w:val="003249AA"/>
    <w:rsid w:val="0032643F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2415A"/>
    <w:rsid w:val="004337CB"/>
    <w:rsid w:val="00434E69"/>
    <w:rsid w:val="00436556"/>
    <w:rsid w:val="00445B11"/>
    <w:rsid w:val="004529E9"/>
    <w:rsid w:val="00452D22"/>
    <w:rsid w:val="004538FE"/>
    <w:rsid w:val="00453AEF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B0BC3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1BFB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2760"/>
    <w:rsid w:val="00707AD5"/>
    <w:rsid w:val="00712287"/>
    <w:rsid w:val="00722D4D"/>
    <w:rsid w:val="007236D6"/>
    <w:rsid w:val="00726AF2"/>
    <w:rsid w:val="00735443"/>
    <w:rsid w:val="00750194"/>
    <w:rsid w:val="00753AEE"/>
    <w:rsid w:val="00753F41"/>
    <w:rsid w:val="0076185C"/>
    <w:rsid w:val="00763D7D"/>
    <w:rsid w:val="00764EF3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7794"/>
    <w:rsid w:val="008F331D"/>
    <w:rsid w:val="008F6E3A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5931"/>
    <w:rsid w:val="00C36E00"/>
    <w:rsid w:val="00C54D81"/>
    <w:rsid w:val="00C557B6"/>
    <w:rsid w:val="00C6011A"/>
    <w:rsid w:val="00C70F84"/>
    <w:rsid w:val="00C72765"/>
    <w:rsid w:val="00C772A4"/>
    <w:rsid w:val="00C849DF"/>
    <w:rsid w:val="00C97086"/>
    <w:rsid w:val="00CA155D"/>
    <w:rsid w:val="00CA51F1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F06B6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1534</cp:revision>
  <cp:lastPrinted>2021-09-29T08:59:00Z</cp:lastPrinted>
  <dcterms:created xsi:type="dcterms:W3CDTF">2021-03-03T11:16:00Z</dcterms:created>
  <dcterms:modified xsi:type="dcterms:W3CDTF">2021-09-29T09:03:00Z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